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6967" w:val="left" w:leader="none"/>
        </w:tabs>
        <w:spacing w:line="240" w:lineRule="auto"/>
        <w:ind w:left="504" w:right="0" w:firstLine="0"/>
        <w:rPr>
          <w:rFonts w:ascii="Times New Roman"/>
          <w:position w:val="18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37870" cy="54864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787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8"/>
          <w:sz w:val="20"/>
        </w:rPr>
        <mc:AlternateContent>
          <mc:Choice Requires="wps">
            <w:drawing>
              <wp:inline distT="0" distB="0" distL="0" distR="0">
                <wp:extent cx="1838325" cy="318770"/>
                <wp:effectExtent l="0" t="0" r="0" b="5079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838325" cy="318770"/>
                          <a:chExt cx="1838325" cy="31877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838325" cy="318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8325" h="318770">
                                <a:moveTo>
                                  <a:pt x="1678686" y="0"/>
                                </a:moveTo>
                                <a:lnTo>
                                  <a:pt x="159257" y="0"/>
                                </a:lnTo>
                                <a:lnTo>
                                  <a:pt x="108898" y="8113"/>
                                </a:lnTo>
                                <a:lnTo>
                                  <a:pt x="65178" y="30711"/>
                                </a:lnTo>
                                <a:lnTo>
                                  <a:pt x="30711" y="65178"/>
                                </a:lnTo>
                                <a:lnTo>
                                  <a:pt x="8113" y="108898"/>
                                </a:lnTo>
                                <a:lnTo>
                                  <a:pt x="0" y="159257"/>
                                </a:lnTo>
                                <a:lnTo>
                                  <a:pt x="8113" y="209617"/>
                                </a:lnTo>
                                <a:lnTo>
                                  <a:pt x="30711" y="253337"/>
                                </a:lnTo>
                                <a:lnTo>
                                  <a:pt x="65178" y="287804"/>
                                </a:lnTo>
                                <a:lnTo>
                                  <a:pt x="108898" y="310402"/>
                                </a:lnTo>
                                <a:lnTo>
                                  <a:pt x="159257" y="318516"/>
                                </a:lnTo>
                                <a:lnTo>
                                  <a:pt x="1678686" y="318516"/>
                                </a:lnTo>
                                <a:lnTo>
                                  <a:pt x="1729045" y="310402"/>
                                </a:lnTo>
                                <a:lnTo>
                                  <a:pt x="1772765" y="287804"/>
                                </a:lnTo>
                                <a:lnTo>
                                  <a:pt x="1807232" y="253337"/>
                                </a:lnTo>
                                <a:lnTo>
                                  <a:pt x="1829830" y="209617"/>
                                </a:lnTo>
                                <a:lnTo>
                                  <a:pt x="1837943" y="159257"/>
                                </a:lnTo>
                                <a:lnTo>
                                  <a:pt x="1829830" y="108898"/>
                                </a:lnTo>
                                <a:lnTo>
                                  <a:pt x="1807232" y="65178"/>
                                </a:lnTo>
                                <a:lnTo>
                                  <a:pt x="1772765" y="30711"/>
                                </a:lnTo>
                                <a:lnTo>
                                  <a:pt x="1729045" y="8113"/>
                                </a:lnTo>
                                <a:lnTo>
                                  <a:pt x="1678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1838325" cy="318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37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hyperlink r:id="rId6">
                                <w:r>
                                  <w:rPr>
                                    <w:color w:val="FFFFFF"/>
                                    <w:spacing w:val="-2"/>
                                    <w:w w:val="105"/>
                                    <w:sz w:val="20"/>
                                  </w:rPr>
                                  <w:t>WWW.NALOG.GOV.RU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4.75pt;height:25.1pt;mso-position-horizontal-relative:char;mso-position-vertical-relative:line" id="docshapegroup1" coordorigin="0,0" coordsize="2895,502">
                <v:shape style="position:absolute;left:0;top:0;width:2895;height:502" id="docshape2" coordorigin="0,0" coordsize="2895,502" path="m2644,0l251,0,171,13,103,48,48,103,13,171,0,251,13,330,48,399,103,453,171,489,251,502,2644,502,2723,489,2792,453,2846,399,2882,330,2894,251,2882,171,2846,103,2792,48,2723,13,2644,0xe" filled="true" fillcolor="#00afe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2895;height:502" type="#_x0000_t202" id="docshape3" filled="false" stroked="false">
                  <v:textbox inset="0,0,0,0">
                    <w:txbxContent>
                      <w:p>
                        <w:pPr>
                          <w:spacing w:before="127"/>
                          <w:ind w:left="374" w:right="0" w:firstLine="0"/>
                          <w:jc w:val="left"/>
                          <w:rPr>
                            <w:sz w:val="20"/>
                          </w:rPr>
                        </w:pPr>
                        <w:hyperlink r:id="rId6">
                          <w:r>
                            <w:rPr>
                              <w:color w:val="FFFFFF"/>
                              <w:spacing w:val="-2"/>
                              <w:w w:val="105"/>
                              <w:sz w:val="20"/>
                            </w:rPr>
                            <w:t>WWW.NALOG.GOV.RU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position w:val="18"/>
          <w:sz w:val="20"/>
        </w:rPr>
      </w:r>
    </w:p>
    <w:p>
      <w:pPr>
        <w:pStyle w:val="Heading1"/>
        <w:spacing w:line="237" w:lineRule="auto" w:before="228"/>
        <w:ind w:left="2789" w:right="688"/>
      </w:pPr>
      <w:r>
        <w:rPr>
          <w:color w:val="56555A"/>
          <w:spacing w:val="-8"/>
        </w:rPr>
        <w:t>О</w:t>
      </w:r>
      <w:r>
        <w:rPr>
          <w:color w:val="56555A"/>
          <w:spacing w:val="-19"/>
        </w:rPr>
        <w:t> </w:t>
      </w:r>
      <w:r>
        <w:rPr>
          <w:color w:val="56555A"/>
          <w:spacing w:val="-8"/>
        </w:rPr>
        <w:t>порядке</w:t>
      </w:r>
      <w:r>
        <w:rPr>
          <w:color w:val="56555A"/>
          <w:spacing w:val="-18"/>
        </w:rPr>
        <w:t> </w:t>
      </w:r>
      <w:r>
        <w:rPr>
          <w:color w:val="56555A"/>
          <w:spacing w:val="-8"/>
        </w:rPr>
        <w:t>исчисления</w:t>
      </w:r>
      <w:r>
        <w:rPr>
          <w:color w:val="56555A"/>
          <w:spacing w:val="-19"/>
        </w:rPr>
        <w:t> </w:t>
      </w:r>
      <w:r>
        <w:rPr>
          <w:color w:val="56555A"/>
          <w:spacing w:val="-8"/>
        </w:rPr>
        <w:t>налога</w:t>
      </w:r>
      <w:r>
        <w:rPr>
          <w:color w:val="56555A"/>
          <w:spacing w:val="-18"/>
        </w:rPr>
        <w:t> </w:t>
      </w:r>
      <w:r>
        <w:rPr>
          <w:color w:val="56555A"/>
          <w:spacing w:val="-8"/>
        </w:rPr>
        <w:t>на</w:t>
      </w:r>
      <w:r>
        <w:rPr>
          <w:color w:val="56555A"/>
          <w:spacing w:val="-18"/>
        </w:rPr>
        <w:t> </w:t>
      </w:r>
      <w:r>
        <w:rPr>
          <w:color w:val="56555A"/>
          <w:spacing w:val="-8"/>
        </w:rPr>
        <w:t>имущество </w:t>
      </w:r>
      <w:r>
        <w:rPr>
          <w:color w:val="56555A"/>
        </w:rPr>
        <w:t>физических</w:t>
      </w:r>
      <w:r>
        <w:rPr>
          <w:color w:val="56555A"/>
          <w:spacing w:val="-18"/>
        </w:rPr>
        <w:t> </w:t>
      </w:r>
      <w:r>
        <w:rPr>
          <w:color w:val="56555A"/>
        </w:rPr>
        <w:t>лиц</w:t>
      </w:r>
      <w:r>
        <w:rPr>
          <w:color w:val="56555A"/>
          <w:spacing w:val="-27"/>
        </w:rPr>
        <w:t> </w:t>
      </w:r>
      <w:r>
        <w:rPr>
          <w:color w:val="56555A"/>
        </w:rPr>
        <w:t>в</w:t>
      </w:r>
      <w:r>
        <w:rPr>
          <w:color w:val="56555A"/>
          <w:spacing w:val="-26"/>
        </w:rPr>
        <w:t> </w:t>
      </w:r>
      <w:r>
        <w:rPr>
          <w:color w:val="56555A"/>
        </w:rPr>
        <w:t>2026</w:t>
      </w:r>
      <w:r>
        <w:rPr>
          <w:color w:val="56555A"/>
          <w:spacing w:val="-23"/>
        </w:rPr>
        <w:t> </w:t>
      </w:r>
      <w:r>
        <w:rPr>
          <w:color w:val="56555A"/>
        </w:rPr>
        <w:t>году</w:t>
      </w:r>
    </w:p>
    <w:p>
      <w:pPr>
        <w:pStyle w:val="BodyText"/>
        <w:spacing w:before="260"/>
        <w:ind w:left="341" w:right="248"/>
        <w:rPr>
          <w:rFonts w:ascii="Arial" w:hAnsi="Arial"/>
        </w:rPr>
      </w:pPr>
      <w:r>
        <w:rPr>
          <w:color w:val="56555A"/>
          <w:w w:val="110"/>
        </w:rPr>
        <w:t>В Санкт-Петербурге налог на имущество физических лиц за 2025 год исчислен в 2026 году с применением кадастровой стоимости, утвержденной</w:t>
      </w:r>
      <w:r>
        <w:rPr>
          <w:color w:val="56555A"/>
          <w:w w:val="110"/>
        </w:rPr>
        <w:t> Приказом</w:t>
      </w:r>
      <w:r>
        <w:rPr>
          <w:color w:val="56555A"/>
          <w:w w:val="110"/>
        </w:rPr>
        <w:t> Комитета</w:t>
      </w:r>
      <w:r>
        <w:rPr>
          <w:color w:val="56555A"/>
          <w:w w:val="110"/>
        </w:rPr>
        <w:t> имущественных</w:t>
      </w:r>
      <w:r>
        <w:rPr>
          <w:color w:val="56555A"/>
          <w:w w:val="110"/>
        </w:rPr>
        <w:t> отношений Санкт-Петербурга</w:t>
      </w:r>
      <w:r>
        <w:rPr>
          <w:color w:val="56555A"/>
          <w:w w:val="110"/>
        </w:rPr>
        <w:t> от</w:t>
      </w:r>
      <w:r>
        <w:rPr>
          <w:color w:val="56555A"/>
          <w:w w:val="110"/>
        </w:rPr>
        <w:t> 09.11.2023</w:t>
      </w:r>
      <w:r>
        <w:rPr>
          <w:color w:val="56555A"/>
          <w:w w:val="110"/>
        </w:rPr>
        <w:t> №199-п</w:t>
      </w:r>
      <w:r>
        <w:rPr>
          <w:color w:val="56555A"/>
          <w:w w:val="110"/>
        </w:rPr>
        <w:t> «Об</w:t>
      </w:r>
      <w:r>
        <w:rPr>
          <w:color w:val="56555A"/>
          <w:w w:val="110"/>
        </w:rPr>
        <w:t> утверждении результатов</w:t>
      </w:r>
      <w:r>
        <w:rPr>
          <w:color w:val="56555A"/>
          <w:w w:val="110"/>
        </w:rPr>
        <w:t> определении</w:t>
      </w:r>
      <w:r>
        <w:rPr>
          <w:color w:val="56555A"/>
          <w:w w:val="110"/>
        </w:rPr>
        <w:t> кадастровой</w:t>
      </w:r>
      <w:r>
        <w:rPr>
          <w:color w:val="56555A"/>
          <w:w w:val="110"/>
        </w:rPr>
        <w:t> стоимости</w:t>
      </w:r>
      <w:r>
        <w:rPr>
          <w:color w:val="56555A"/>
          <w:w w:val="110"/>
        </w:rPr>
        <w:t> зданий, </w:t>
      </w:r>
      <w:r>
        <w:rPr>
          <w:color w:val="56555A"/>
        </w:rPr>
        <w:t>помещений, сооружений, объектов незавершенного строительства, </w:t>
      </w:r>
      <w:r>
        <w:rPr>
          <w:color w:val="56555A"/>
          <w:spacing w:val="-2"/>
          <w:w w:val="110"/>
        </w:rPr>
        <w:t>машино-мест»</w:t>
      </w:r>
      <w:r>
        <w:rPr>
          <w:rFonts w:ascii="Arial" w:hAnsi="Arial"/>
          <w:color w:val="56555A"/>
          <w:spacing w:val="-2"/>
          <w:w w:val="110"/>
        </w:rPr>
        <w:t>.</w:t>
      </w:r>
    </w:p>
    <w:p>
      <w:pPr>
        <w:pStyle w:val="BodyText"/>
        <w:spacing w:before="225"/>
        <w:ind w:left="341" w:right="248"/>
      </w:pPr>
      <w:r>
        <w:rPr>
          <w:color w:val="56555A"/>
          <w:w w:val="105"/>
        </w:rPr>
        <w:t>При</w:t>
      </w:r>
      <w:r>
        <w:rPr>
          <w:color w:val="56555A"/>
          <w:w w:val="105"/>
        </w:rPr>
        <w:t> исчислении</w:t>
      </w:r>
      <w:r>
        <w:rPr>
          <w:color w:val="56555A"/>
          <w:w w:val="105"/>
        </w:rPr>
        <w:t> налога</w:t>
      </w:r>
      <w:r>
        <w:rPr>
          <w:color w:val="56555A"/>
          <w:w w:val="105"/>
        </w:rPr>
        <w:t> на</w:t>
      </w:r>
      <w:r>
        <w:rPr>
          <w:color w:val="56555A"/>
          <w:w w:val="105"/>
        </w:rPr>
        <w:t> имущество</w:t>
      </w:r>
      <w:r>
        <w:rPr>
          <w:color w:val="56555A"/>
          <w:w w:val="105"/>
        </w:rPr>
        <w:t> физическим</w:t>
      </w:r>
      <w:r>
        <w:rPr>
          <w:color w:val="56555A"/>
          <w:w w:val="105"/>
        </w:rPr>
        <w:t> лицам применяется коэффициент 1,1, установленный пунктом 8.1. статьи 408 НК РФ, ограничивающий ежегодный рост налога на имущество физических</w:t>
      </w:r>
      <w:r>
        <w:rPr>
          <w:color w:val="56555A"/>
          <w:w w:val="105"/>
        </w:rPr>
        <w:t> лиц.</w:t>
      </w:r>
      <w:r>
        <w:rPr>
          <w:color w:val="56555A"/>
          <w:w w:val="105"/>
        </w:rPr>
        <w:t> Следовательно,</w:t>
      </w:r>
      <w:r>
        <w:rPr>
          <w:color w:val="56555A"/>
          <w:w w:val="105"/>
        </w:rPr>
        <w:t> сумма</w:t>
      </w:r>
      <w:r>
        <w:rPr>
          <w:color w:val="56555A"/>
          <w:w w:val="105"/>
        </w:rPr>
        <w:t> налога</w:t>
      </w:r>
      <w:r>
        <w:rPr>
          <w:color w:val="56555A"/>
          <w:w w:val="105"/>
        </w:rPr>
        <w:t> на</w:t>
      </w:r>
      <w:r>
        <w:rPr>
          <w:color w:val="56555A"/>
          <w:w w:val="105"/>
        </w:rPr>
        <w:t> имущество, исчисленная за 2025 год, не будет превышать более чем на 10 % сумму налога на имущество физических лиц, исчисленную за 2024 </w:t>
      </w:r>
      <w:r>
        <w:rPr>
          <w:color w:val="56555A"/>
          <w:spacing w:val="-4"/>
          <w:w w:val="105"/>
        </w:rPr>
        <w:t>год.</w:t>
      </w:r>
    </w:p>
    <w:p>
      <w:pPr>
        <w:pStyle w:val="BodyText"/>
        <w:spacing w:before="33"/>
        <w:jc w:val="left"/>
      </w:pPr>
    </w:p>
    <w:p>
      <w:pPr>
        <w:pStyle w:val="Heading2"/>
      </w:pPr>
      <w:r>
        <w:rPr>
          <w:color w:val="56555A"/>
        </w:rPr>
        <w:t>Вместе с тем, коэффициент 1,1 не применяется в отношении объектов</w:t>
      </w:r>
      <w:r>
        <w:rPr>
          <w:color w:val="56555A"/>
          <w:spacing w:val="-3"/>
        </w:rPr>
        <w:t> </w:t>
      </w:r>
      <w:r>
        <w:rPr>
          <w:color w:val="56555A"/>
        </w:rPr>
        <w:t>недвижимости: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116" w:after="0"/>
        <w:ind w:left="714" w:right="287" w:hanging="389"/>
        <w:jc w:val="both"/>
        <w:rPr>
          <w:sz w:val="28"/>
        </w:rPr>
      </w:pPr>
      <w:r>
        <w:rPr>
          <w:color w:val="56555A"/>
          <w:w w:val="110"/>
          <w:sz w:val="28"/>
        </w:rPr>
        <w:t>в</w:t>
      </w:r>
      <w:r>
        <w:rPr>
          <w:color w:val="56555A"/>
          <w:w w:val="110"/>
          <w:sz w:val="28"/>
        </w:rPr>
        <w:t> случае</w:t>
      </w:r>
      <w:r>
        <w:rPr>
          <w:color w:val="56555A"/>
          <w:w w:val="110"/>
          <w:sz w:val="28"/>
        </w:rPr>
        <w:t> изменения</w:t>
      </w:r>
      <w:r>
        <w:rPr>
          <w:color w:val="56555A"/>
          <w:w w:val="110"/>
          <w:sz w:val="28"/>
        </w:rPr>
        <w:t> в</w:t>
      </w:r>
      <w:r>
        <w:rPr>
          <w:color w:val="56555A"/>
          <w:w w:val="110"/>
          <w:sz w:val="28"/>
        </w:rPr>
        <w:t> течение</w:t>
      </w:r>
      <w:r>
        <w:rPr>
          <w:color w:val="56555A"/>
          <w:w w:val="110"/>
          <w:sz w:val="28"/>
        </w:rPr>
        <w:t> налогового</w:t>
      </w:r>
      <w:r>
        <w:rPr>
          <w:color w:val="56555A"/>
          <w:w w:val="110"/>
          <w:sz w:val="28"/>
        </w:rPr>
        <w:t> периода характеристик объекта недвижимости;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116" w:after="0"/>
        <w:ind w:left="714" w:right="291" w:hanging="389"/>
        <w:jc w:val="both"/>
        <w:rPr>
          <w:sz w:val="28"/>
        </w:rPr>
      </w:pPr>
      <w:r>
        <w:rPr>
          <w:color w:val="56555A"/>
          <w:w w:val="110"/>
          <w:sz w:val="28"/>
        </w:rPr>
        <w:t>в</w:t>
      </w:r>
      <w:r>
        <w:rPr>
          <w:color w:val="56555A"/>
          <w:w w:val="110"/>
          <w:sz w:val="28"/>
        </w:rPr>
        <w:t> отношении</w:t>
      </w:r>
      <w:r>
        <w:rPr>
          <w:color w:val="56555A"/>
          <w:w w:val="110"/>
          <w:sz w:val="28"/>
        </w:rPr>
        <w:t> объектов,</w:t>
      </w:r>
      <w:r>
        <w:rPr>
          <w:color w:val="56555A"/>
          <w:w w:val="110"/>
          <w:sz w:val="28"/>
        </w:rPr>
        <w:t> включенных</w:t>
      </w:r>
      <w:r>
        <w:rPr>
          <w:color w:val="56555A"/>
          <w:w w:val="110"/>
          <w:sz w:val="28"/>
        </w:rPr>
        <w:t> в</w:t>
      </w:r>
      <w:r>
        <w:rPr>
          <w:color w:val="56555A"/>
          <w:w w:val="110"/>
          <w:sz w:val="28"/>
        </w:rPr>
        <w:t> специальный</w:t>
      </w:r>
      <w:r>
        <w:rPr>
          <w:color w:val="56555A"/>
          <w:w w:val="110"/>
          <w:sz w:val="28"/>
        </w:rPr>
        <w:t> перечень </w:t>
      </w:r>
      <w:r>
        <w:rPr>
          <w:color w:val="56555A"/>
          <w:sz w:val="28"/>
        </w:rPr>
        <w:t>объектов</w:t>
      </w:r>
      <w:r>
        <w:rPr>
          <w:color w:val="56555A"/>
          <w:spacing w:val="38"/>
          <w:sz w:val="28"/>
        </w:rPr>
        <w:t> </w:t>
      </w:r>
      <w:r>
        <w:rPr>
          <w:color w:val="56555A"/>
          <w:sz w:val="28"/>
        </w:rPr>
        <w:t>торгового</w:t>
      </w:r>
      <w:r>
        <w:rPr>
          <w:color w:val="56555A"/>
          <w:spacing w:val="42"/>
          <w:sz w:val="28"/>
        </w:rPr>
        <w:t> </w:t>
      </w:r>
      <w:r>
        <w:rPr>
          <w:color w:val="56555A"/>
          <w:sz w:val="28"/>
        </w:rPr>
        <w:t>и</w:t>
      </w:r>
      <w:r>
        <w:rPr>
          <w:color w:val="56555A"/>
          <w:spacing w:val="42"/>
          <w:sz w:val="28"/>
        </w:rPr>
        <w:t> </w:t>
      </w:r>
      <w:r>
        <w:rPr>
          <w:color w:val="56555A"/>
          <w:sz w:val="28"/>
        </w:rPr>
        <w:t>административно-делового</w:t>
      </w:r>
      <w:r>
        <w:rPr>
          <w:color w:val="56555A"/>
          <w:spacing w:val="44"/>
          <w:sz w:val="28"/>
        </w:rPr>
        <w:t> </w:t>
      </w:r>
      <w:r>
        <w:rPr>
          <w:color w:val="56555A"/>
          <w:sz w:val="28"/>
        </w:rPr>
        <w:t>использования</w:t>
      </w:r>
      <w:r>
        <w:rPr>
          <w:color w:val="56555A"/>
          <w:spacing w:val="80"/>
          <w:w w:val="150"/>
          <w:sz w:val="28"/>
        </w:rPr>
        <w:t> </w:t>
      </w:r>
      <w:r>
        <w:rPr>
          <w:color w:val="56555A"/>
          <w:w w:val="110"/>
          <w:sz w:val="28"/>
        </w:rPr>
        <w:t>на</w:t>
      </w:r>
      <w:r>
        <w:rPr>
          <w:color w:val="56555A"/>
          <w:spacing w:val="-18"/>
          <w:w w:val="110"/>
          <w:sz w:val="28"/>
        </w:rPr>
        <w:t> </w:t>
      </w:r>
      <w:r>
        <w:rPr>
          <w:color w:val="56555A"/>
          <w:w w:val="110"/>
          <w:sz w:val="28"/>
        </w:rPr>
        <w:t>основании</w:t>
      </w:r>
      <w:r>
        <w:rPr>
          <w:color w:val="56555A"/>
          <w:spacing w:val="-27"/>
          <w:w w:val="110"/>
          <w:sz w:val="28"/>
        </w:rPr>
        <w:t> </w:t>
      </w:r>
      <w:r>
        <w:rPr>
          <w:color w:val="56555A"/>
          <w:w w:val="110"/>
          <w:sz w:val="28"/>
        </w:rPr>
        <w:t>п.</w:t>
      </w:r>
      <w:r>
        <w:rPr>
          <w:color w:val="56555A"/>
          <w:spacing w:val="-15"/>
          <w:w w:val="110"/>
          <w:sz w:val="28"/>
        </w:rPr>
        <w:t> </w:t>
      </w:r>
      <w:r>
        <w:rPr>
          <w:color w:val="56555A"/>
          <w:w w:val="110"/>
          <w:sz w:val="28"/>
        </w:rPr>
        <w:t>7</w:t>
      </w:r>
      <w:r>
        <w:rPr>
          <w:color w:val="56555A"/>
          <w:spacing w:val="-18"/>
          <w:w w:val="110"/>
          <w:sz w:val="28"/>
        </w:rPr>
        <w:t> </w:t>
      </w:r>
      <w:r>
        <w:rPr>
          <w:color w:val="56555A"/>
          <w:w w:val="110"/>
          <w:sz w:val="28"/>
        </w:rPr>
        <w:t>ст.</w:t>
      </w:r>
      <w:r>
        <w:rPr>
          <w:color w:val="56555A"/>
          <w:spacing w:val="-18"/>
          <w:w w:val="110"/>
          <w:sz w:val="28"/>
        </w:rPr>
        <w:t> </w:t>
      </w:r>
      <w:r>
        <w:rPr>
          <w:color w:val="56555A"/>
          <w:w w:val="110"/>
          <w:sz w:val="28"/>
        </w:rPr>
        <w:t>378.2</w:t>
      </w:r>
      <w:r>
        <w:rPr>
          <w:color w:val="56555A"/>
          <w:spacing w:val="-15"/>
          <w:w w:val="110"/>
          <w:sz w:val="28"/>
        </w:rPr>
        <w:t> </w:t>
      </w:r>
      <w:r>
        <w:rPr>
          <w:color w:val="56555A"/>
          <w:w w:val="110"/>
          <w:sz w:val="28"/>
        </w:rPr>
        <w:t>НК</w:t>
      </w:r>
      <w:r>
        <w:rPr>
          <w:color w:val="56555A"/>
          <w:spacing w:val="-19"/>
          <w:w w:val="110"/>
          <w:sz w:val="28"/>
        </w:rPr>
        <w:t> </w:t>
      </w:r>
      <w:r>
        <w:rPr>
          <w:color w:val="56555A"/>
          <w:w w:val="110"/>
          <w:sz w:val="28"/>
        </w:rPr>
        <w:t>РФ.</w:t>
      </w:r>
    </w:p>
    <w:p>
      <w:pPr>
        <w:pStyle w:val="BodyText"/>
        <w:spacing w:before="23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291084</wp:posOffset>
                </wp:positionH>
                <wp:positionV relativeFrom="paragraph">
                  <wp:posOffset>183522</wp:posOffset>
                </wp:positionV>
                <wp:extent cx="6239510" cy="1132840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239510" cy="1132840"/>
                          <a:chExt cx="6239510" cy="11328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239510" cy="1132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9510" h="1132840">
                                <a:moveTo>
                                  <a:pt x="5984748" y="0"/>
                                </a:moveTo>
                                <a:lnTo>
                                  <a:pt x="254508" y="0"/>
                                </a:lnTo>
                                <a:lnTo>
                                  <a:pt x="208759" y="4099"/>
                                </a:lnTo>
                                <a:lnTo>
                                  <a:pt x="165700" y="15919"/>
                                </a:lnTo>
                                <a:lnTo>
                                  <a:pt x="126051" y="34741"/>
                                </a:lnTo>
                                <a:lnTo>
                                  <a:pt x="90530" y="59847"/>
                                </a:lnTo>
                                <a:lnTo>
                                  <a:pt x="59856" y="90520"/>
                                </a:lnTo>
                                <a:lnTo>
                                  <a:pt x="34747" y="126040"/>
                                </a:lnTo>
                                <a:lnTo>
                                  <a:pt x="15922" y="165690"/>
                                </a:lnTo>
                                <a:lnTo>
                                  <a:pt x="4100" y="208752"/>
                                </a:lnTo>
                                <a:lnTo>
                                  <a:pt x="0" y="254507"/>
                                </a:lnTo>
                                <a:lnTo>
                                  <a:pt x="0" y="877823"/>
                                </a:lnTo>
                                <a:lnTo>
                                  <a:pt x="4100" y="923579"/>
                                </a:lnTo>
                                <a:lnTo>
                                  <a:pt x="15922" y="966641"/>
                                </a:lnTo>
                                <a:lnTo>
                                  <a:pt x="34747" y="1006291"/>
                                </a:lnTo>
                                <a:lnTo>
                                  <a:pt x="59856" y="1041811"/>
                                </a:lnTo>
                                <a:lnTo>
                                  <a:pt x="90530" y="1072484"/>
                                </a:lnTo>
                                <a:lnTo>
                                  <a:pt x="126051" y="1097590"/>
                                </a:lnTo>
                                <a:lnTo>
                                  <a:pt x="165700" y="1116412"/>
                                </a:lnTo>
                                <a:lnTo>
                                  <a:pt x="208759" y="1128232"/>
                                </a:lnTo>
                                <a:lnTo>
                                  <a:pt x="254508" y="1132331"/>
                                </a:lnTo>
                                <a:lnTo>
                                  <a:pt x="5984748" y="1132331"/>
                                </a:lnTo>
                                <a:lnTo>
                                  <a:pt x="6030503" y="1128232"/>
                                </a:lnTo>
                                <a:lnTo>
                                  <a:pt x="6073565" y="1116412"/>
                                </a:lnTo>
                                <a:lnTo>
                                  <a:pt x="6113215" y="1097590"/>
                                </a:lnTo>
                                <a:lnTo>
                                  <a:pt x="6148735" y="1072484"/>
                                </a:lnTo>
                                <a:lnTo>
                                  <a:pt x="6179408" y="1041811"/>
                                </a:lnTo>
                                <a:lnTo>
                                  <a:pt x="6204514" y="1006291"/>
                                </a:lnTo>
                                <a:lnTo>
                                  <a:pt x="6223336" y="966641"/>
                                </a:lnTo>
                                <a:lnTo>
                                  <a:pt x="6235156" y="923579"/>
                                </a:lnTo>
                                <a:lnTo>
                                  <a:pt x="6239256" y="877823"/>
                                </a:lnTo>
                                <a:lnTo>
                                  <a:pt x="6239256" y="254507"/>
                                </a:lnTo>
                                <a:lnTo>
                                  <a:pt x="6235156" y="208752"/>
                                </a:lnTo>
                                <a:lnTo>
                                  <a:pt x="6223336" y="165690"/>
                                </a:lnTo>
                                <a:lnTo>
                                  <a:pt x="6204514" y="126040"/>
                                </a:lnTo>
                                <a:lnTo>
                                  <a:pt x="6179408" y="90520"/>
                                </a:lnTo>
                                <a:lnTo>
                                  <a:pt x="6148735" y="59847"/>
                                </a:lnTo>
                                <a:lnTo>
                                  <a:pt x="6113215" y="34741"/>
                                </a:lnTo>
                                <a:lnTo>
                                  <a:pt x="6073565" y="15919"/>
                                </a:lnTo>
                                <a:lnTo>
                                  <a:pt x="6030503" y="4099"/>
                                </a:lnTo>
                                <a:lnTo>
                                  <a:pt x="59847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239510" cy="1132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3" w:lineRule="auto" w:before="399"/>
                                <w:ind w:left="2153" w:right="1217" w:hanging="666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56555A"/>
                                  <w:spacing w:val="-10"/>
                                  <w:sz w:val="36"/>
                                </w:rPr>
                                <w:t>Срок</w:t>
                              </w:r>
                              <w:r>
                                <w:rPr>
                                  <w:b/>
                                  <w:color w:val="56555A"/>
                                  <w:spacing w:val="-17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pacing w:val="-10"/>
                                  <w:sz w:val="36"/>
                                </w:rPr>
                                <w:t>уплаты</w:t>
                              </w:r>
                              <w:r>
                                <w:rPr>
                                  <w:b/>
                                  <w:color w:val="56555A"/>
                                  <w:spacing w:val="-18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pacing w:val="-10"/>
                                  <w:sz w:val="36"/>
                                </w:rPr>
                                <w:t>имущественных</w:t>
                              </w:r>
                              <w:r>
                                <w:rPr>
                                  <w:b/>
                                  <w:color w:val="56555A"/>
                                  <w:spacing w:val="-1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pacing w:val="-10"/>
                                  <w:sz w:val="36"/>
                                </w:rPr>
                                <w:t>налогов</w:t>
                              </w:r>
                              <w:r>
                                <w:rPr>
                                  <w:b/>
                                  <w:color w:val="56555A"/>
                                  <w:spacing w:val="-16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pacing w:val="-10"/>
                                  <w:sz w:val="36"/>
                                </w:rPr>
                                <w:t>- </w:t>
                              </w:r>
                              <w:r>
                                <w:rPr>
                                  <w:b/>
                                  <w:color w:val="56555A"/>
                                  <w:sz w:val="36"/>
                                </w:rPr>
                                <w:t>не</w:t>
                              </w:r>
                              <w:r>
                                <w:rPr>
                                  <w:b/>
                                  <w:color w:val="56555A"/>
                                  <w:spacing w:val="-26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z w:val="36"/>
                                </w:rPr>
                                <w:t>позднее</w:t>
                              </w:r>
                              <w:r>
                                <w:rPr>
                                  <w:b/>
                                  <w:color w:val="56555A"/>
                                  <w:spacing w:val="-27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0000"/>
                                  <w:sz w:val="36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FF0000"/>
                                  <w:spacing w:val="-26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0000"/>
                                  <w:sz w:val="36"/>
                                </w:rPr>
                                <w:t>декабря</w:t>
                              </w:r>
                              <w:r>
                                <w:rPr>
                                  <w:b/>
                                  <w:color w:val="FF0000"/>
                                  <w:spacing w:val="-2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0000"/>
                                  <w:sz w:val="36"/>
                                </w:rPr>
                                <w:t>2026</w:t>
                              </w:r>
                              <w:r>
                                <w:rPr>
                                  <w:b/>
                                  <w:color w:val="FF0000"/>
                                  <w:spacing w:val="-23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z w:val="36"/>
                                </w:rPr>
                                <w:t>года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.92pt;margin-top:14.450586pt;width:491.3pt;height:89.2pt;mso-position-horizontal-relative:page;mso-position-vertical-relative:paragraph;z-index:-15728128;mso-wrap-distance-left:0;mso-wrap-distance-right:0" id="docshapegroup4" coordorigin="458,289" coordsize="9826,1784">
                <v:shape style="position:absolute;left:458;top:289;width:9826;height:1784" id="docshape5" coordorigin="458,289" coordsize="9826,1784" path="m9883,289l859,289,787,295,719,314,657,344,601,383,553,432,513,488,483,550,465,618,458,690,458,1671,465,1743,483,1811,513,1874,553,1930,601,1978,657,2018,719,2047,787,2066,859,2072,9883,2072,9955,2066,10023,2047,10086,2018,10141,1978,10190,1930,10229,1874,10259,1811,10278,1743,10284,1671,10284,690,10278,618,10259,550,10229,488,10190,432,10141,383,10086,344,10023,314,9955,295,9883,289xe" filled="true" fillcolor="#fae4d5" stroked="false">
                  <v:path arrowok="t"/>
                  <v:fill type="solid"/>
                </v:shape>
                <v:shape style="position:absolute;left:458;top:289;width:9826;height:1784" type="#_x0000_t202" id="docshape6" filled="false" stroked="false">
                  <v:textbox inset="0,0,0,0">
                    <w:txbxContent>
                      <w:p>
                        <w:pPr>
                          <w:spacing w:line="273" w:lineRule="auto" w:before="399"/>
                          <w:ind w:left="2153" w:right="1217" w:hanging="666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56555A"/>
                            <w:spacing w:val="-10"/>
                            <w:sz w:val="36"/>
                          </w:rPr>
                          <w:t>Срок</w:t>
                        </w:r>
                        <w:r>
                          <w:rPr>
                            <w:b/>
                            <w:color w:val="56555A"/>
                            <w:spacing w:val="-17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pacing w:val="-10"/>
                            <w:sz w:val="36"/>
                          </w:rPr>
                          <w:t>уплаты</w:t>
                        </w:r>
                        <w:r>
                          <w:rPr>
                            <w:b/>
                            <w:color w:val="56555A"/>
                            <w:spacing w:val="-18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pacing w:val="-10"/>
                            <w:sz w:val="36"/>
                          </w:rPr>
                          <w:t>имущественных</w:t>
                        </w:r>
                        <w:r>
                          <w:rPr>
                            <w:b/>
                            <w:color w:val="56555A"/>
                            <w:spacing w:val="-14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pacing w:val="-10"/>
                            <w:sz w:val="36"/>
                          </w:rPr>
                          <w:t>налогов</w:t>
                        </w:r>
                        <w:r>
                          <w:rPr>
                            <w:b/>
                            <w:color w:val="56555A"/>
                            <w:spacing w:val="-16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pacing w:val="-10"/>
                            <w:sz w:val="36"/>
                          </w:rPr>
                          <w:t>- </w:t>
                        </w:r>
                        <w:r>
                          <w:rPr>
                            <w:b/>
                            <w:color w:val="56555A"/>
                            <w:sz w:val="36"/>
                          </w:rPr>
                          <w:t>не</w:t>
                        </w:r>
                        <w:r>
                          <w:rPr>
                            <w:b/>
                            <w:color w:val="56555A"/>
                            <w:spacing w:val="-26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z w:val="36"/>
                          </w:rPr>
                          <w:t>позднее</w:t>
                        </w:r>
                        <w:r>
                          <w:rPr>
                            <w:b/>
                            <w:color w:val="56555A"/>
                            <w:spacing w:val="-27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FF0000"/>
                            <w:sz w:val="36"/>
                          </w:rPr>
                          <w:t>1</w:t>
                        </w:r>
                        <w:r>
                          <w:rPr>
                            <w:b/>
                            <w:color w:val="FF0000"/>
                            <w:spacing w:val="-26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FF0000"/>
                            <w:sz w:val="36"/>
                          </w:rPr>
                          <w:t>декабря</w:t>
                        </w:r>
                        <w:r>
                          <w:rPr>
                            <w:b/>
                            <w:color w:val="FF0000"/>
                            <w:spacing w:val="-25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FF0000"/>
                            <w:sz w:val="36"/>
                          </w:rPr>
                          <w:t>2026</w:t>
                        </w:r>
                        <w:r>
                          <w:rPr>
                            <w:b/>
                            <w:color w:val="FF0000"/>
                            <w:spacing w:val="-23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z w:val="36"/>
                          </w:rPr>
                          <w:t>года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372"/>
        <w:jc w:val="left"/>
        <w:rPr>
          <w:sz w:val="36"/>
        </w:rPr>
      </w:pPr>
    </w:p>
    <w:p>
      <w:pPr>
        <w:pStyle w:val="Heading1"/>
        <w:ind w:firstLine="0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530351</wp:posOffset>
            </wp:positionH>
            <wp:positionV relativeFrom="paragraph">
              <wp:posOffset>-199727</wp:posOffset>
            </wp:positionV>
            <wp:extent cx="521208" cy="87477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08" cy="874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14043"/>
          <w:spacing w:val="-12"/>
        </w:rPr>
        <w:t>8</w:t>
      </w:r>
      <w:r>
        <w:rPr>
          <w:color w:val="414043"/>
          <w:spacing w:val="-17"/>
        </w:rPr>
        <w:t> </w:t>
      </w:r>
      <w:r>
        <w:rPr>
          <w:color w:val="414043"/>
          <w:spacing w:val="-12"/>
        </w:rPr>
        <w:t>(800)</w:t>
      </w:r>
      <w:r>
        <w:rPr>
          <w:color w:val="414043"/>
          <w:spacing w:val="-11"/>
        </w:rPr>
        <w:t> </w:t>
      </w:r>
      <w:r>
        <w:rPr>
          <w:color w:val="414043"/>
          <w:spacing w:val="-12"/>
        </w:rPr>
        <w:t>222-22-22</w:t>
      </w:r>
    </w:p>
    <w:p>
      <w:pPr>
        <w:spacing w:before="34"/>
        <w:ind w:left="1694" w:right="4964" w:firstLine="0"/>
        <w:jc w:val="left"/>
        <w:rPr>
          <w:sz w:val="18"/>
        </w:rPr>
      </w:pPr>
      <w:r>
        <w:rPr>
          <w:color w:val="414043"/>
          <w:sz w:val="18"/>
        </w:rPr>
        <w:t>Бесплатный многоканальный </w:t>
      </w:r>
      <w:r>
        <w:rPr>
          <w:color w:val="414043"/>
          <w:sz w:val="18"/>
        </w:rPr>
        <w:t>телефон </w:t>
      </w:r>
      <w:r>
        <w:rPr>
          <w:color w:val="414043"/>
          <w:w w:val="110"/>
          <w:sz w:val="18"/>
        </w:rPr>
        <w:t>контакт-центра ФНС России</w:t>
      </w:r>
    </w:p>
    <w:sectPr>
      <w:type w:val="continuous"/>
      <w:pgSz w:w="10800" w:h="15600"/>
      <w:pgMar w:top="72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21.000000pt;height:22.500000pt" o:bullet="t">
        <v:imagedata r:id="rId1" o:title="image2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14" w:hanging="38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56" w:hanging="38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92" w:hanging="38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28" w:hanging="38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64" w:hanging="38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00" w:hanging="38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36" w:hanging="38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72" w:hanging="38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8" w:hanging="38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116"/>
      <w:jc w:val="both"/>
    </w:pPr>
    <w:rPr>
      <w:rFonts w:ascii="Tahoma" w:hAnsi="Tahoma" w:eastAsia="Tahoma" w:cs="Tahoma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695" w:hanging="1464"/>
      <w:outlineLvl w:val="1"/>
    </w:pPr>
    <w:rPr>
      <w:rFonts w:ascii="Tahoma" w:hAnsi="Tahoma" w:eastAsia="Tahoma" w:cs="Tahoma"/>
      <w:b/>
      <w:bCs/>
      <w:sz w:val="36"/>
      <w:szCs w:val="36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318" w:right="289"/>
      <w:jc w:val="both"/>
      <w:outlineLvl w:val="2"/>
    </w:pPr>
    <w:rPr>
      <w:rFonts w:ascii="Tahoma" w:hAnsi="Tahoma" w:eastAsia="Tahoma" w:cs="Tahoma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16"/>
      <w:ind w:left="714" w:right="287" w:hanging="389"/>
      <w:jc w:val="both"/>
    </w:pPr>
    <w:rPr>
      <w:rFonts w:ascii="Tahoma" w:hAnsi="Tahoma" w:eastAsia="Tahoma" w:cs="Tahoma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NALOG.GOV.RU/" TargetMode="External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DesignSmash</dc:creator>
  <dc:title>asdf</dc:title>
  <dcterms:created xsi:type="dcterms:W3CDTF">2026-10-16T13:00:22Z</dcterms:created>
  <dcterms:modified xsi:type="dcterms:W3CDTF">2026-10-16T13:00:22Z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Creator">
    <vt:lpwstr>Microsoft® PowerPoint® 2013</vt:lpwstr>
  </property>
  <property fmtid="{D5CDD505-2E9C-101B-9397-08002B2CF9AE}" pid="5" name="LastSaved">
    <vt:filetime>2026-10-16T00:00:00Z</vt:filetime>
  </property>
  <property fmtid="{D5CDD505-2E9C-101B-9397-08002B2CF9AE}" pid="6" name="Producer">
    <vt:lpwstr>Microsoft® PowerPoint® 2013</vt:lpwstr>
  </property>
</Properties>
</file>